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5C088" w14:textId="77777777" w:rsidR="000C5F8B" w:rsidRPr="000C5F8B" w:rsidRDefault="000C5F8B" w:rsidP="000C5F8B">
      <w:pPr>
        <w:rPr>
          <w:rFonts w:cs="Times New Roman"/>
          <w:b/>
          <w:sz w:val="25"/>
          <w:szCs w:val="25"/>
        </w:rPr>
      </w:pPr>
      <w:r w:rsidRPr="000C5F8B">
        <w:rPr>
          <w:rFonts w:cs="Times New Roman"/>
          <w:b/>
          <w:sz w:val="25"/>
          <w:szCs w:val="25"/>
        </w:rPr>
        <w:t xml:space="preserve">Anlage 8 zum LRV (Gas) nach </w:t>
      </w:r>
      <w:proofErr w:type="spellStart"/>
      <w:r w:rsidRPr="000C5F8B">
        <w:rPr>
          <w:rFonts w:cs="Times New Roman"/>
          <w:b/>
          <w:sz w:val="25"/>
          <w:szCs w:val="25"/>
        </w:rPr>
        <w:t>KoV</w:t>
      </w:r>
      <w:proofErr w:type="spellEnd"/>
      <w:r w:rsidRPr="000C5F8B">
        <w:rPr>
          <w:rFonts w:cs="Times New Roman"/>
          <w:b/>
          <w:sz w:val="25"/>
          <w:szCs w:val="25"/>
        </w:rPr>
        <w:t xml:space="preserve"> 13: </w:t>
      </w:r>
    </w:p>
    <w:p w14:paraId="3747F39A" w14:textId="77777777" w:rsidR="000C5F8B" w:rsidRPr="000C5F8B" w:rsidRDefault="000C5F8B" w:rsidP="000C5F8B">
      <w:pPr>
        <w:rPr>
          <w:rFonts w:cs="Times New Roman"/>
          <w:b/>
          <w:sz w:val="25"/>
          <w:szCs w:val="25"/>
        </w:rPr>
      </w:pPr>
      <w:r w:rsidRPr="000C5F8B">
        <w:rPr>
          <w:rFonts w:cs="Times New Roman"/>
          <w:b/>
          <w:sz w:val="25"/>
          <w:szCs w:val="25"/>
        </w:rPr>
        <w:t xml:space="preserve">Unterbrechung (Sperrung) und Wiederherstellung (Entsperrung) </w:t>
      </w:r>
    </w:p>
    <w:p w14:paraId="5E593EC0" w14:textId="77777777" w:rsidR="000C5F8B" w:rsidRPr="000C5F8B" w:rsidRDefault="000C5F8B" w:rsidP="000C5F8B">
      <w:pPr>
        <w:rPr>
          <w:rFonts w:cs="Times New Roman"/>
          <w:b/>
          <w:sz w:val="25"/>
          <w:szCs w:val="25"/>
        </w:rPr>
      </w:pPr>
      <w:r w:rsidRPr="000C5F8B">
        <w:rPr>
          <w:rFonts w:cs="Times New Roman"/>
          <w:b/>
          <w:sz w:val="25"/>
          <w:szCs w:val="25"/>
        </w:rPr>
        <w:t>der Anschlussnutzung auf Anweisung des Transportkunden</w:t>
      </w:r>
    </w:p>
    <w:p w14:paraId="20C9237E" w14:textId="77777777" w:rsidR="000C5F8B" w:rsidRPr="000C5F8B" w:rsidRDefault="000C5F8B" w:rsidP="000C5F8B">
      <w:pPr>
        <w:rPr>
          <w:rFonts w:cs="Times New Roman"/>
          <w:bCs/>
          <w:sz w:val="25"/>
          <w:szCs w:val="25"/>
        </w:rPr>
      </w:pPr>
    </w:p>
    <w:p w14:paraId="5F636726" w14:textId="5A7EF249" w:rsidR="000C5F8B" w:rsidRDefault="000C5F8B" w:rsidP="000C5F8B">
      <w:pPr>
        <w:rPr>
          <w:rFonts w:cs="Times New Roman"/>
          <w:bCs/>
          <w:sz w:val="25"/>
          <w:szCs w:val="25"/>
        </w:rPr>
      </w:pPr>
      <w:r w:rsidRPr="001257CE">
        <w:rPr>
          <w:rFonts w:cs="Times New Roman"/>
          <w:bCs/>
          <w:sz w:val="25"/>
          <w:szCs w:val="25"/>
        </w:rPr>
        <w:t>1. Der</w:t>
      </w:r>
      <w:r w:rsidRPr="000C5F8B">
        <w:rPr>
          <w:rFonts w:cs="Times New Roman"/>
          <w:bCs/>
          <w:sz w:val="25"/>
          <w:szCs w:val="25"/>
        </w:rPr>
        <w:t xml:space="preserve"> Netzbetreiber nimmt eine Unterbrechung der Anschlussnutzung eines Letztverbrauchers (Sperrung) – ggf. nur bezogen auf einzelne Marktlokationen - auf Verlangen des Transportkunden unter den Voraussetzungen des § 11 Ziffer 6 LRV vor. Die Unterbrechung der Anschlussnutzung darf nicht unverhältnismäßig sein.</w:t>
      </w:r>
    </w:p>
    <w:p w14:paraId="5321B6D5" w14:textId="77777777" w:rsidR="000C5F8B" w:rsidRPr="000C5F8B" w:rsidRDefault="000C5F8B" w:rsidP="000C5F8B">
      <w:pPr>
        <w:rPr>
          <w:rFonts w:cs="Times New Roman"/>
          <w:bCs/>
          <w:sz w:val="25"/>
          <w:szCs w:val="25"/>
        </w:rPr>
      </w:pPr>
    </w:p>
    <w:p w14:paraId="0378F67F" w14:textId="122780CF" w:rsidR="000C5F8B" w:rsidRDefault="000C5F8B" w:rsidP="000C5F8B">
      <w:pPr>
        <w:rPr>
          <w:rFonts w:cs="Times New Roman"/>
          <w:bCs/>
          <w:sz w:val="25"/>
          <w:szCs w:val="25"/>
        </w:rPr>
      </w:pPr>
      <w:r w:rsidRPr="000C5F8B">
        <w:rPr>
          <w:rFonts w:cs="Times New Roman"/>
          <w:bCs/>
          <w:sz w:val="25"/>
          <w:szCs w:val="25"/>
        </w:rPr>
        <w:t>2.</w:t>
      </w:r>
      <w:r>
        <w:rPr>
          <w:rFonts w:cs="Times New Roman"/>
          <w:bCs/>
          <w:sz w:val="25"/>
          <w:szCs w:val="25"/>
        </w:rPr>
        <w:t xml:space="preserve"> </w:t>
      </w:r>
      <w:r w:rsidRPr="000C5F8B">
        <w:rPr>
          <w:rFonts w:cs="Times New Roman"/>
          <w:bCs/>
          <w:sz w:val="25"/>
          <w:szCs w:val="25"/>
        </w:rPr>
        <w:t xml:space="preserve">Der Netzbetreiber wird im Namen des Transportkunden dem Letztverbraucher den Beginn der Unterbrechung drei Werktage im Voraus ankündigen. </w:t>
      </w:r>
    </w:p>
    <w:p w14:paraId="10853B60" w14:textId="77777777" w:rsidR="000C5F8B" w:rsidRPr="000C5F8B" w:rsidRDefault="000C5F8B" w:rsidP="000C5F8B">
      <w:pPr>
        <w:rPr>
          <w:rFonts w:cs="Times New Roman"/>
          <w:bCs/>
          <w:sz w:val="25"/>
          <w:szCs w:val="25"/>
        </w:rPr>
      </w:pPr>
    </w:p>
    <w:p w14:paraId="529529DF" w14:textId="0660C648" w:rsidR="000C5F8B" w:rsidRDefault="000C5F8B" w:rsidP="000C5F8B">
      <w:pPr>
        <w:rPr>
          <w:rFonts w:cs="Times New Roman"/>
          <w:bCs/>
          <w:sz w:val="25"/>
          <w:szCs w:val="25"/>
        </w:rPr>
      </w:pPr>
      <w:r w:rsidRPr="000C5F8B">
        <w:rPr>
          <w:rFonts w:cs="Times New Roman"/>
          <w:bCs/>
          <w:sz w:val="25"/>
          <w:szCs w:val="25"/>
        </w:rPr>
        <w:t>3.</w:t>
      </w:r>
      <w:r>
        <w:rPr>
          <w:rFonts w:cs="Times New Roman"/>
          <w:bCs/>
          <w:sz w:val="25"/>
          <w:szCs w:val="25"/>
        </w:rPr>
        <w:t xml:space="preserve"> </w:t>
      </w:r>
      <w:r w:rsidRPr="000C5F8B">
        <w:rPr>
          <w:rFonts w:cs="Times New Roman"/>
          <w:bCs/>
          <w:sz w:val="25"/>
          <w:szCs w:val="25"/>
        </w:rPr>
        <w:t xml:space="preserve">Die vom beauftragenden Transportkunden zu tragenden Kosten der Sperrung bzw. Entsperrung richten sich nach dem zum Zeitpunkt der Sperrung bzw. Entsperrung geltenden Preisblatt (Anlage 1) des Netzbetreibers. </w:t>
      </w:r>
    </w:p>
    <w:p w14:paraId="49A37838" w14:textId="77777777" w:rsidR="000C5F8B" w:rsidRPr="000C5F8B" w:rsidRDefault="000C5F8B" w:rsidP="000C5F8B">
      <w:pPr>
        <w:rPr>
          <w:rFonts w:cs="Times New Roman"/>
          <w:bCs/>
          <w:sz w:val="25"/>
          <w:szCs w:val="25"/>
        </w:rPr>
      </w:pPr>
    </w:p>
    <w:p w14:paraId="3F7431A5" w14:textId="33EF90BE" w:rsidR="000C5F8B" w:rsidRDefault="000C5F8B" w:rsidP="000C5F8B">
      <w:pPr>
        <w:rPr>
          <w:rFonts w:cs="Times New Roman"/>
          <w:bCs/>
          <w:sz w:val="25"/>
          <w:szCs w:val="25"/>
        </w:rPr>
      </w:pPr>
      <w:r w:rsidRPr="000C5F8B">
        <w:rPr>
          <w:rFonts w:cs="Times New Roman"/>
          <w:bCs/>
          <w:sz w:val="25"/>
          <w:szCs w:val="25"/>
        </w:rPr>
        <w:t>4.</w:t>
      </w:r>
      <w:r>
        <w:rPr>
          <w:rFonts w:cs="Times New Roman"/>
          <w:bCs/>
          <w:sz w:val="25"/>
          <w:szCs w:val="25"/>
        </w:rPr>
        <w:t xml:space="preserve"> </w:t>
      </w:r>
      <w:r w:rsidRPr="000C5F8B">
        <w:rPr>
          <w:rFonts w:cs="Times New Roman"/>
          <w:bCs/>
          <w:sz w:val="25"/>
          <w:szCs w:val="25"/>
        </w:rPr>
        <w:t xml:space="preserve">Die Sperrung / Entsperrung wird vom Transportkunden auf dem vollständig ausgefüllten Formular „Auftrag zur Unterbrechung / Wiederherstellung der Anschlussnutzung“ (vgl. Anlage 8.1. zum LRV) in Textform beim Netzbetreiber beantragt. Die Beauftragung erfolgt per E-Mail an das Postfach: </w:t>
      </w:r>
      <w:hyperlink r:id="rId11" w:history="1">
        <w:r w:rsidR="001257CE" w:rsidRPr="0038336F">
          <w:rPr>
            <w:rStyle w:val="Hyperlink"/>
            <w:rFonts w:cs="Times New Roman"/>
            <w:bCs/>
            <w:sz w:val="25"/>
            <w:szCs w:val="25"/>
          </w:rPr>
          <w:t>versorgerwechsel@travenetz.de</w:t>
        </w:r>
      </w:hyperlink>
      <w:r w:rsidR="001257CE">
        <w:rPr>
          <w:rFonts w:cs="Times New Roman"/>
          <w:bCs/>
          <w:sz w:val="25"/>
          <w:szCs w:val="25"/>
        </w:rPr>
        <w:t xml:space="preserve">. </w:t>
      </w:r>
      <w:r w:rsidRPr="000C5F8B">
        <w:rPr>
          <w:rFonts w:cs="Times New Roman"/>
          <w:bCs/>
          <w:sz w:val="25"/>
          <w:szCs w:val="25"/>
        </w:rPr>
        <w:t xml:space="preserve">Der Netzbetreiber prüft nicht, ob die Voraussetzungen für eine Einstellung der Netznutzung tatsächlich vorliegen. Sobald und soweit dafür Prozesse im Rahmen der elektronischen Marktkommunikation nach </w:t>
      </w:r>
      <w:proofErr w:type="spellStart"/>
      <w:r w:rsidRPr="000C5F8B">
        <w:rPr>
          <w:rFonts w:cs="Times New Roman"/>
          <w:bCs/>
          <w:sz w:val="25"/>
          <w:szCs w:val="25"/>
        </w:rPr>
        <w:t>GeLi</w:t>
      </w:r>
      <w:proofErr w:type="spellEnd"/>
      <w:r w:rsidRPr="000C5F8B">
        <w:rPr>
          <w:rFonts w:cs="Times New Roman"/>
          <w:bCs/>
          <w:sz w:val="25"/>
          <w:szCs w:val="25"/>
        </w:rPr>
        <w:t xml:space="preserve"> Gas festgelegt sind, gelten in dem dafür anwendbaren Rahmen diese Prozessvorgaben. </w:t>
      </w:r>
    </w:p>
    <w:p w14:paraId="045DEF76" w14:textId="77777777" w:rsidR="001257CE" w:rsidRPr="000C5F8B" w:rsidRDefault="001257CE" w:rsidP="000C5F8B">
      <w:pPr>
        <w:rPr>
          <w:rFonts w:cs="Times New Roman"/>
          <w:bCs/>
          <w:sz w:val="25"/>
          <w:szCs w:val="25"/>
        </w:rPr>
      </w:pPr>
    </w:p>
    <w:p w14:paraId="67A1546A" w14:textId="42EA38DE" w:rsidR="000C5F8B" w:rsidRDefault="000C5F8B" w:rsidP="000C5F8B">
      <w:pPr>
        <w:rPr>
          <w:rFonts w:cs="Times New Roman"/>
          <w:bCs/>
          <w:sz w:val="25"/>
          <w:szCs w:val="25"/>
        </w:rPr>
      </w:pPr>
      <w:r w:rsidRPr="000C5F8B">
        <w:rPr>
          <w:rFonts w:cs="Times New Roman"/>
          <w:bCs/>
          <w:sz w:val="25"/>
          <w:szCs w:val="25"/>
        </w:rPr>
        <w:t>5.</w:t>
      </w:r>
      <w:r>
        <w:rPr>
          <w:rFonts w:cs="Times New Roman"/>
          <w:bCs/>
          <w:sz w:val="25"/>
          <w:szCs w:val="25"/>
        </w:rPr>
        <w:t xml:space="preserve"> </w:t>
      </w:r>
      <w:r w:rsidRPr="000C5F8B">
        <w:rPr>
          <w:rFonts w:cs="Times New Roman"/>
          <w:bCs/>
          <w:sz w:val="25"/>
          <w:szCs w:val="25"/>
        </w:rPr>
        <w:t>Der Netzbetreiber informiert den Transportkunden unverzüglich in Textform - bzw. ab und im Rahmen der Geltung entsprechender Vorgaben im Wege elektronischer Prozesse der Marktkommunikation - über den beabsichtigten Termin (Datum und ungefähre Uhrzeit) der Sperrung. Fällt der Grund für die Sperrung vor der Ausführung der Sperrung weg, hat der Transportkunde den Sperrauftrag unverzüglich in Textform – bzw. ab und im Rahmen der Geltung entsprechender Vorgaben per elektronischer Marktkommunikation - beim Netzbetreiber zu stornieren. Widerruft der Transportkunde den Sperrauftrag, bevor der Netzbetreiber ihm den Sperrtermin angekündigt hat, fällt kein Sperrentgelt an. Bei später eingehenden Stornierungen übernimmt der Transportkunde die Kosten für die Sperrung gemäß gültigem und im Internet veröffentlichten Preisblatt (Anlage 1).</w:t>
      </w:r>
    </w:p>
    <w:p w14:paraId="2E946628" w14:textId="77777777" w:rsidR="001257CE" w:rsidRPr="000C5F8B" w:rsidRDefault="001257CE" w:rsidP="000C5F8B">
      <w:pPr>
        <w:rPr>
          <w:rFonts w:cs="Times New Roman"/>
          <w:bCs/>
          <w:sz w:val="25"/>
          <w:szCs w:val="25"/>
        </w:rPr>
      </w:pPr>
    </w:p>
    <w:p w14:paraId="33305FAB" w14:textId="5AB5157E" w:rsidR="000C5F8B" w:rsidRDefault="000C5F8B" w:rsidP="000C5F8B">
      <w:pPr>
        <w:rPr>
          <w:rFonts w:cs="Times New Roman"/>
          <w:bCs/>
          <w:sz w:val="25"/>
          <w:szCs w:val="25"/>
        </w:rPr>
      </w:pPr>
      <w:r w:rsidRPr="000C5F8B">
        <w:rPr>
          <w:rFonts w:cs="Times New Roman"/>
          <w:bCs/>
          <w:sz w:val="25"/>
          <w:szCs w:val="25"/>
        </w:rPr>
        <w:t>6.</w:t>
      </w:r>
      <w:r>
        <w:rPr>
          <w:rFonts w:cs="Times New Roman"/>
          <w:bCs/>
          <w:sz w:val="25"/>
          <w:szCs w:val="25"/>
        </w:rPr>
        <w:t xml:space="preserve"> </w:t>
      </w:r>
      <w:r w:rsidRPr="000C5F8B">
        <w:rPr>
          <w:rFonts w:cs="Times New Roman"/>
          <w:bCs/>
          <w:sz w:val="25"/>
          <w:szCs w:val="25"/>
        </w:rPr>
        <w:t>Auf Wunsch des Transportkunden wird der Netzbetreiber die Unterbrechung in Anwesenheit eines Beauftragten des Transportkunden vornehmen, um eine gütliche Einigung zwischen Transportkunde und Letztverbraucher zu ermöglichen.</w:t>
      </w:r>
    </w:p>
    <w:p w14:paraId="70067603" w14:textId="77777777" w:rsidR="001257CE" w:rsidRPr="000C5F8B" w:rsidRDefault="001257CE" w:rsidP="000C5F8B">
      <w:pPr>
        <w:rPr>
          <w:rFonts w:cs="Times New Roman"/>
          <w:bCs/>
          <w:sz w:val="25"/>
          <w:szCs w:val="25"/>
        </w:rPr>
      </w:pPr>
    </w:p>
    <w:p w14:paraId="61D2F1F2" w14:textId="0E1FC747" w:rsidR="000C5F8B" w:rsidRDefault="000C5F8B" w:rsidP="000C5F8B">
      <w:pPr>
        <w:rPr>
          <w:rFonts w:cs="Times New Roman"/>
          <w:bCs/>
          <w:sz w:val="25"/>
          <w:szCs w:val="25"/>
        </w:rPr>
      </w:pPr>
      <w:r w:rsidRPr="000C5F8B">
        <w:rPr>
          <w:rFonts w:cs="Times New Roman"/>
          <w:bCs/>
          <w:sz w:val="25"/>
          <w:szCs w:val="25"/>
        </w:rPr>
        <w:t>7.</w:t>
      </w:r>
      <w:r>
        <w:rPr>
          <w:rFonts w:cs="Times New Roman"/>
          <w:bCs/>
          <w:sz w:val="25"/>
          <w:szCs w:val="25"/>
        </w:rPr>
        <w:t xml:space="preserve"> </w:t>
      </w:r>
      <w:r w:rsidRPr="000C5F8B">
        <w:rPr>
          <w:rFonts w:cs="Times New Roman"/>
          <w:bCs/>
          <w:sz w:val="25"/>
          <w:szCs w:val="25"/>
        </w:rPr>
        <w:t xml:space="preserve">Ist zur Durchführung der Unterbrechung eine </w:t>
      </w:r>
      <w:proofErr w:type="gramStart"/>
      <w:r w:rsidRPr="000C5F8B">
        <w:rPr>
          <w:rFonts w:cs="Times New Roman"/>
          <w:bCs/>
          <w:sz w:val="25"/>
          <w:szCs w:val="25"/>
        </w:rPr>
        <w:t>Handlung</w:t>
      </w:r>
      <w:proofErr w:type="gramEnd"/>
      <w:r w:rsidRPr="000C5F8B">
        <w:rPr>
          <w:rFonts w:cs="Times New Roman"/>
          <w:bCs/>
          <w:sz w:val="25"/>
          <w:szCs w:val="25"/>
        </w:rPr>
        <w:t xml:space="preserve"> an der beim Anschlussnutzer installierten Messeinrichtung notwendig und wird der Messstellenbetrieb von einem dritten Messstellenbetreiber durchgeführt, wird der Netzbetreiber von diesem dritten Messstellenbetreiber die Vornahme der notwendigen Handlung verlangen. Eine vom dritten Messstellenbetreiber oder seinen Beauftragten verursachte Verhinderung oder Verzögerung des vom Transportkunden gewünschten Unterbrechungstermins hat der Netzbetreiber nicht zu vertreten.</w:t>
      </w:r>
    </w:p>
    <w:p w14:paraId="742CB1DA" w14:textId="77777777" w:rsidR="001257CE" w:rsidRPr="000C5F8B" w:rsidRDefault="001257CE" w:rsidP="000C5F8B">
      <w:pPr>
        <w:rPr>
          <w:rFonts w:cs="Times New Roman"/>
          <w:bCs/>
          <w:sz w:val="25"/>
          <w:szCs w:val="25"/>
        </w:rPr>
      </w:pPr>
    </w:p>
    <w:p w14:paraId="7498AE0C" w14:textId="6B56A540" w:rsidR="000C5F8B" w:rsidRDefault="000C5F8B" w:rsidP="000C5F8B">
      <w:pPr>
        <w:rPr>
          <w:rFonts w:cs="Times New Roman"/>
          <w:bCs/>
          <w:sz w:val="25"/>
          <w:szCs w:val="25"/>
        </w:rPr>
      </w:pPr>
      <w:r w:rsidRPr="000C5F8B">
        <w:rPr>
          <w:rFonts w:cs="Times New Roman"/>
          <w:bCs/>
          <w:sz w:val="25"/>
          <w:szCs w:val="25"/>
        </w:rPr>
        <w:lastRenderedPageBreak/>
        <w:t>8.</w:t>
      </w:r>
      <w:r>
        <w:rPr>
          <w:rFonts w:cs="Times New Roman"/>
          <w:bCs/>
          <w:sz w:val="25"/>
          <w:szCs w:val="25"/>
        </w:rPr>
        <w:t xml:space="preserve"> </w:t>
      </w:r>
      <w:r w:rsidRPr="000C5F8B">
        <w:rPr>
          <w:rFonts w:cs="Times New Roman"/>
          <w:bCs/>
          <w:sz w:val="25"/>
          <w:szCs w:val="25"/>
        </w:rPr>
        <w:t xml:space="preserve">Ist eine Sperrung aus rechtlichen oder tatsächlichen Gründen nicht möglich, wird der Netzbetreiber den Transportkunden gemäß § 11 Ziffer 7 Satz 2 LRV hierüber unverzüglich in Textform informieren und mit ihm evtl. weitere Schritte abstimmen. Als solcher Grund gilt insbesondere eine gerichtliche Verfügung, welche die Sperrung untersagt. Die Kosten für einen erfolglosen Sperrversuch trägt der Transportkunde. </w:t>
      </w:r>
    </w:p>
    <w:p w14:paraId="760E82FB" w14:textId="77777777" w:rsidR="001257CE" w:rsidRPr="000C5F8B" w:rsidRDefault="001257CE" w:rsidP="000C5F8B">
      <w:pPr>
        <w:rPr>
          <w:rFonts w:cs="Times New Roman"/>
          <w:bCs/>
          <w:sz w:val="25"/>
          <w:szCs w:val="25"/>
        </w:rPr>
      </w:pPr>
    </w:p>
    <w:p w14:paraId="2059FA19" w14:textId="6278E1BF" w:rsidR="000C5F8B" w:rsidRDefault="000C5F8B" w:rsidP="000C5F8B">
      <w:pPr>
        <w:rPr>
          <w:rFonts w:cs="Times New Roman"/>
          <w:bCs/>
          <w:sz w:val="25"/>
          <w:szCs w:val="25"/>
        </w:rPr>
      </w:pPr>
      <w:r w:rsidRPr="000C5F8B">
        <w:rPr>
          <w:rFonts w:cs="Times New Roman"/>
          <w:bCs/>
          <w:sz w:val="25"/>
          <w:szCs w:val="25"/>
        </w:rPr>
        <w:t>9.</w:t>
      </w:r>
      <w:r w:rsidR="001257CE">
        <w:rPr>
          <w:rFonts w:cs="Times New Roman"/>
          <w:bCs/>
          <w:sz w:val="25"/>
          <w:szCs w:val="25"/>
        </w:rPr>
        <w:t xml:space="preserve"> </w:t>
      </w:r>
      <w:r w:rsidRPr="000C5F8B">
        <w:rPr>
          <w:rFonts w:cs="Times New Roman"/>
          <w:bCs/>
          <w:sz w:val="25"/>
          <w:szCs w:val="25"/>
        </w:rPr>
        <w:t>Über das Ergebnis des Sperrtermins informiert der Netzbetreiber den Transportkunden unverzüglich in Textform bzw. im Rahmen vorgeschriebener elektronischer Marktkommunikation</w:t>
      </w:r>
    </w:p>
    <w:p w14:paraId="234A100E" w14:textId="77777777" w:rsidR="001257CE" w:rsidRPr="000C5F8B" w:rsidRDefault="001257CE" w:rsidP="000C5F8B">
      <w:pPr>
        <w:rPr>
          <w:rFonts w:cs="Times New Roman"/>
          <w:bCs/>
          <w:sz w:val="25"/>
          <w:szCs w:val="25"/>
        </w:rPr>
      </w:pPr>
    </w:p>
    <w:p w14:paraId="36DC4EC0" w14:textId="149A01C3" w:rsidR="000C5F8B" w:rsidRDefault="000C5F8B" w:rsidP="000C5F8B">
      <w:pPr>
        <w:rPr>
          <w:rFonts w:cs="Times New Roman"/>
          <w:bCs/>
          <w:sz w:val="25"/>
          <w:szCs w:val="25"/>
        </w:rPr>
      </w:pPr>
      <w:r w:rsidRPr="000C5F8B">
        <w:rPr>
          <w:rFonts w:cs="Times New Roman"/>
          <w:bCs/>
          <w:sz w:val="25"/>
          <w:szCs w:val="25"/>
        </w:rPr>
        <w:t>10.</w:t>
      </w:r>
      <w:r w:rsidR="001257CE">
        <w:rPr>
          <w:rFonts w:cs="Times New Roman"/>
          <w:bCs/>
          <w:sz w:val="25"/>
          <w:szCs w:val="25"/>
        </w:rPr>
        <w:t xml:space="preserve"> </w:t>
      </w:r>
      <w:r w:rsidRPr="000C5F8B">
        <w:rPr>
          <w:rFonts w:cs="Times New Roman"/>
          <w:bCs/>
          <w:sz w:val="25"/>
          <w:szCs w:val="25"/>
        </w:rPr>
        <w:t>Ist der Netzbetreiber - z.B. aufgrund einer gerichtlichen Verfügung - zu einer Wiederherstellung der Anschlussnutzung (Entsperrung) verpflichtet, so ist er auch ohne Rücksprache mit dem Transportkunden hierzu berechtigt. Die Kosten der Entsperrung gemäß dem zum Zeitpunkt der Entsperrung aktuellen Preisblatt (Anlage 1) trägt der Transportkunde.</w:t>
      </w:r>
    </w:p>
    <w:p w14:paraId="106D3C70" w14:textId="77777777" w:rsidR="001257CE" w:rsidRPr="000C5F8B" w:rsidRDefault="001257CE" w:rsidP="000C5F8B">
      <w:pPr>
        <w:rPr>
          <w:rFonts w:cs="Times New Roman"/>
          <w:bCs/>
          <w:sz w:val="25"/>
          <w:szCs w:val="25"/>
        </w:rPr>
      </w:pPr>
    </w:p>
    <w:p w14:paraId="3CC5E209" w14:textId="54E32D7B" w:rsidR="000C5F8B" w:rsidRPr="000C5F8B" w:rsidRDefault="000C5F8B" w:rsidP="000C5F8B">
      <w:pPr>
        <w:rPr>
          <w:rFonts w:cs="Times New Roman"/>
          <w:bCs/>
          <w:sz w:val="25"/>
          <w:szCs w:val="25"/>
        </w:rPr>
      </w:pPr>
      <w:r w:rsidRPr="000C5F8B">
        <w:rPr>
          <w:rFonts w:cs="Times New Roman"/>
          <w:bCs/>
          <w:sz w:val="25"/>
          <w:szCs w:val="25"/>
        </w:rPr>
        <w:t>11.</w:t>
      </w:r>
      <w:r w:rsidR="001257CE">
        <w:rPr>
          <w:rFonts w:cs="Times New Roman"/>
          <w:bCs/>
          <w:sz w:val="25"/>
          <w:szCs w:val="25"/>
        </w:rPr>
        <w:t xml:space="preserve"> </w:t>
      </w:r>
      <w:r w:rsidRPr="000C5F8B">
        <w:rPr>
          <w:rFonts w:cs="Times New Roman"/>
          <w:bCs/>
          <w:sz w:val="25"/>
          <w:szCs w:val="25"/>
        </w:rPr>
        <w:t>Der Netzbetreiber hebt die Unterbrechung der Anschlussnutzung nach Aufforderung des Transportkunden in Textform – bzw. ab und im Rahmen der Geltung entsprechender Vorgaben per elektronischer Marktkommunikation - mit allen Angaben, die der Identifizierung der Marktlokation dienen (Name des Kunden, Adresse der betroffenen Marktlokation, Zählernummer, Messlokation), im Regelfall spätestens 2 Werktage nach Eingang der Aufforderung auf.</w:t>
      </w:r>
    </w:p>
    <w:sectPr w:rsidR="000C5F8B" w:rsidRPr="000C5F8B" w:rsidSect="004D70A6">
      <w:headerReference w:type="default" r:id="rId12"/>
      <w:footerReference w:type="default" r:id="rId13"/>
      <w:headerReference w:type="first" r:id="rId14"/>
      <w:footerReference w:type="first" r:id="rId15"/>
      <w:pgSz w:w="11906" w:h="16838" w:code="9"/>
      <w:pgMar w:top="2127" w:right="991" w:bottom="851" w:left="1134" w:header="124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9D9CB" w14:textId="77777777" w:rsidR="00E767A6" w:rsidRDefault="00E767A6">
      <w:r>
        <w:separator/>
      </w:r>
    </w:p>
  </w:endnote>
  <w:endnote w:type="continuationSeparator" w:id="0">
    <w:p w14:paraId="30F13DD6" w14:textId="77777777" w:rsidR="00E767A6" w:rsidRDefault="00E7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45 Light">
    <w:panose1 w:val="020B0403030504020204"/>
    <w:charset w:val="00"/>
    <w:family w:val="swiss"/>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55 Roman">
    <w:panose1 w:val="020B06020202040202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2C349" w14:textId="6E6D05A3" w:rsidR="006D5AD7" w:rsidRDefault="00D91A91" w:rsidP="00CC7327">
    <w:pPr>
      <w:pStyle w:val="Fuzeile"/>
      <w:rPr>
        <w:sz w:val="16"/>
      </w:rPr>
    </w:pPr>
    <w:r w:rsidRPr="00DC4A01">
      <w:rPr>
        <w:sz w:val="16"/>
      </w:rPr>
      <w:t xml:space="preserve">Anlage </w:t>
    </w:r>
    <w:r>
      <w:rPr>
        <w:sz w:val="16"/>
      </w:rPr>
      <w:t>8 – Sperrvereinbarung Gas</w:t>
    </w:r>
    <w:r w:rsidR="00273728">
      <w:rPr>
        <w:rFonts w:ascii="Arial" w:hAnsi="Arial"/>
        <w:sz w:val="16"/>
      </w:rPr>
      <w:tab/>
    </w:r>
    <w:r w:rsidR="00273728" w:rsidRPr="00E8502B">
      <w:rPr>
        <w:sz w:val="16"/>
      </w:rPr>
      <w:t xml:space="preserve">Seite </w:t>
    </w:r>
    <w:r w:rsidR="00273728" w:rsidRPr="00E8502B">
      <w:rPr>
        <w:sz w:val="16"/>
      </w:rPr>
      <w:fldChar w:fldCharType="begin"/>
    </w:r>
    <w:r w:rsidR="00273728" w:rsidRPr="00E8502B">
      <w:rPr>
        <w:sz w:val="16"/>
      </w:rPr>
      <w:instrText>PAGE  \* Arabic  \* MERGEFORMAT</w:instrText>
    </w:r>
    <w:r w:rsidR="00273728" w:rsidRPr="00E8502B">
      <w:rPr>
        <w:sz w:val="16"/>
      </w:rPr>
      <w:fldChar w:fldCharType="separate"/>
    </w:r>
    <w:r w:rsidR="00273728" w:rsidRPr="00E8502B">
      <w:rPr>
        <w:sz w:val="16"/>
      </w:rPr>
      <w:t>1</w:t>
    </w:r>
    <w:r w:rsidR="00273728" w:rsidRPr="00E8502B">
      <w:rPr>
        <w:sz w:val="16"/>
      </w:rPr>
      <w:fldChar w:fldCharType="end"/>
    </w:r>
    <w:r w:rsidR="00273728" w:rsidRPr="00E8502B">
      <w:rPr>
        <w:sz w:val="16"/>
      </w:rPr>
      <w:t xml:space="preserve"> von </w:t>
    </w:r>
    <w:r w:rsidR="00273728" w:rsidRPr="00E8502B">
      <w:rPr>
        <w:sz w:val="16"/>
      </w:rPr>
      <w:fldChar w:fldCharType="begin"/>
    </w:r>
    <w:r w:rsidR="00273728" w:rsidRPr="00E8502B">
      <w:rPr>
        <w:sz w:val="16"/>
      </w:rPr>
      <w:instrText>NUMPAGES  \* Arabic  \* MERGEFORMAT</w:instrText>
    </w:r>
    <w:r w:rsidR="00273728" w:rsidRPr="00E8502B">
      <w:rPr>
        <w:sz w:val="16"/>
      </w:rPr>
      <w:fldChar w:fldCharType="separate"/>
    </w:r>
    <w:r w:rsidR="00273728" w:rsidRPr="00E8502B">
      <w:rPr>
        <w:sz w:val="16"/>
      </w:rPr>
      <w:t>5</w:t>
    </w:r>
    <w:r w:rsidR="00273728" w:rsidRPr="00E8502B">
      <w:rPr>
        <w:sz w:val="16"/>
      </w:rPr>
      <w:fldChar w:fldCharType="end"/>
    </w:r>
  </w:p>
  <w:p w14:paraId="311325E4" w14:textId="470FECB9" w:rsidR="00E8502B" w:rsidRPr="00D60A42" w:rsidRDefault="00E8502B" w:rsidP="00CC7327">
    <w:pPr>
      <w:pStyle w:val="Fuzeile"/>
      <w:rPr>
        <w:rFonts w:cs="Times New Roman"/>
        <w:sz w:val="24"/>
      </w:rPr>
    </w:pPr>
    <w:r>
      <w:rPr>
        <w:sz w:val="16"/>
      </w:rPr>
      <w:t>Stand: 0</w:t>
    </w:r>
    <w:r w:rsidR="00ED64C6">
      <w:rPr>
        <w:sz w:val="16"/>
      </w:rPr>
      <w:t>7</w:t>
    </w:r>
    <w:r>
      <w:rPr>
        <w:sz w:val="16"/>
      </w:rPr>
      <w:t>/202</w:t>
    </w:r>
    <w:r w:rsidR="00D91A91">
      <w:rPr>
        <w:sz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DC981" w14:textId="04B090D4" w:rsidR="004F5AE5" w:rsidRDefault="004F5AE5" w:rsidP="004F5AE5">
    <w:pPr>
      <w:pStyle w:val="Fuzeile"/>
      <w:rPr>
        <w:sz w:val="16"/>
      </w:rPr>
    </w:pPr>
    <w:r w:rsidRPr="00DC4A01">
      <w:rPr>
        <w:noProof/>
      </w:rPr>
      <w:drawing>
        <wp:anchor distT="0" distB="0" distL="114300" distR="114300" simplePos="0" relativeHeight="251681280" behindDoc="0" locked="0" layoutInCell="1" allowOverlap="1" wp14:anchorId="05BC9668" wp14:editId="04C2A696">
          <wp:simplePos x="0" y="0"/>
          <wp:positionH relativeFrom="column">
            <wp:posOffset>4833430</wp:posOffset>
          </wp:positionH>
          <wp:positionV relativeFrom="paragraph">
            <wp:posOffset>-49530</wp:posOffset>
          </wp:positionV>
          <wp:extent cx="1514475" cy="381000"/>
          <wp:effectExtent l="0" t="0" r="9525" b="0"/>
          <wp:wrapNone/>
          <wp:docPr id="18"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381000"/>
                  </a:xfrm>
                  <a:prstGeom prst="rect">
                    <a:avLst/>
                  </a:prstGeom>
                  <a:noFill/>
                </pic:spPr>
              </pic:pic>
            </a:graphicData>
          </a:graphic>
          <wp14:sizeRelH relativeFrom="page">
            <wp14:pctWidth>0</wp14:pctWidth>
          </wp14:sizeRelH>
          <wp14:sizeRelV relativeFrom="page">
            <wp14:pctHeight>0</wp14:pctHeight>
          </wp14:sizeRelV>
        </wp:anchor>
      </w:drawing>
    </w:r>
    <w:r w:rsidR="00DC4A01" w:rsidRPr="00DC4A01">
      <w:rPr>
        <w:sz w:val="16"/>
      </w:rPr>
      <w:t xml:space="preserve">Anlage </w:t>
    </w:r>
    <w:r w:rsidR="009A311F">
      <w:rPr>
        <w:sz w:val="16"/>
      </w:rPr>
      <w:t>8</w:t>
    </w:r>
    <w:r w:rsidR="00736AA7">
      <w:rPr>
        <w:sz w:val="16"/>
      </w:rPr>
      <w:t xml:space="preserve"> – </w:t>
    </w:r>
    <w:r w:rsidR="009A311F">
      <w:rPr>
        <w:sz w:val="16"/>
      </w:rPr>
      <w:t>Sperrvereinbarung Gas</w:t>
    </w:r>
    <w:r>
      <w:rPr>
        <w:rFonts w:ascii="Arial" w:hAnsi="Arial"/>
        <w:sz w:val="16"/>
      </w:rPr>
      <w:tab/>
    </w:r>
    <w:r w:rsidRPr="00E8502B">
      <w:rPr>
        <w:sz w:val="16"/>
      </w:rPr>
      <w:t xml:space="preserve">Seite </w:t>
    </w:r>
    <w:r w:rsidRPr="00E8502B">
      <w:rPr>
        <w:sz w:val="16"/>
      </w:rPr>
      <w:fldChar w:fldCharType="begin"/>
    </w:r>
    <w:r w:rsidRPr="00E8502B">
      <w:rPr>
        <w:sz w:val="16"/>
      </w:rPr>
      <w:instrText>PAGE  \* Arabic  \* MERGEFORMAT</w:instrText>
    </w:r>
    <w:r w:rsidRPr="00E8502B">
      <w:rPr>
        <w:sz w:val="16"/>
      </w:rPr>
      <w:fldChar w:fldCharType="separate"/>
    </w:r>
    <w:r>
      <w:rPr>
        <w:sz w:val="16"/>
      </w:rPr>
      <w:t>2</w:t>
    </w:r>
    <w:r w:rsidRPr="00E8502B">
      <w:rPr>
        <w:sz w:val="16"/>
      </w:rPr>
      <w:fldChar w:fldCharType="end"/>
    </w:r>
    <w:r w:rsidRPr="00E8502B">
      <w:rPr>
        <w:sz w:val="16"/>
      </w:rPr>
      <w:t xml:space="preserve"> von </w:t>
    </w:r>
    <w:r w:rsidRPr="00E8502B">
      <w:rPr>
        <w:sz w:val="16"/>
      </w:rPr>
      <w:fldChar w:fldCharType="begin"/>
    </w:r>
    <w:r w:rsidRPr="00E8502B">
      <w:rPr>
        <w:sz w:val="16"/>
      </w:rPr>
      <w:instrText>NUMPAGES  \* Arabic  \* MERGEFORMAT</w:instrText>
    </w:r>
    <w:r w:rsidRPr="00E8502B">
      <w:rPr>
        <w:sz w:val="16"/>
      </w:rPr>
      <w:fldChar w:fldCharType="separate"/>
    </w:r>
    <w:r>
      <w:rPr>
        <w:sz w:val="16"/>
      </w:rPr>
      <w:t>2</w:t>
    </w:r>
    <w:r w:rsidRPr="00E8502B">
      <w:rPr>
        <w:sz w:val="16"/>
      </w:rPr>
      <w:fldChar w:fldCharType="end"/>
    </w:r>
  </w:p>
  <w:p w14:paraId="6D936536" w14:textId="4FEC369A" w:rsidR="004F5AE5" w:rsidRPr="004F5AE5" w:rsidRDefault="004F5AE5">
    <w:pPr>
      <w:pStyle w:val="Fuzeile"/>
      <w:rPr>
        <w:rFonts w:cs="Times New Roman"/>
        <w:sz w:val="24"/>
      </w:rPr>
    </w:pPr>
    <w:r>
      <w:rPr>
        <w:sz w:val="16"/>
      </w:rPr>
      <w:t xml:space="preserve">Stand: </w:t>
    </w:r>
    <w:r w:rsidR="000C5F8B">
      <w:rPr>
        <w:sz w:val="16"/>
      </w:rPr>
      <w:t>0</w:t>
    </w:r>
    <w:r w:rsidR="00ED64C6">
      <w:rPr>
        <w:sz w:val="16"/>
      </w:rPr>
      <w:t>7</w:t>
    </w:r>
    <w:r w:rsidR="000C5F8B">
      <w:rPr>
        <w:sz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3A2BF" w14:textId="77777777" w:rsidR="00E767A6" w:rsidRDefault="00E767A6">
      <w:r>
        <w:separator/>
      </w:r>
    </w:p>
  </w:footnote>
  <w:footnote w:type="continuationSeparator" w:id="0">
    <w:p w14:paraId="50D44835" w14:textId="77777777" w:rsidR="00E767A6" w:rsidRDefault="00E76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A51E2" w14:textId="4BF9305E" w:rsidR="00067FB3" w:rsidRDefault="00067FB3" w:rsidP="00F50498">
    <w:pPr>
      <w:pStyle w:val="Kopfzeile"/>
      <w:jc w:val="right"/>
    </w:pPr>
  </w:p>
  <w:p w14:paraId="2584AE0A" w14:textId="77777777" w:rsidR="00067FB3" w:rsidRDefault="00067FB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A28DF" w14:textId="11A34AA2" w:rsidR="004F5AE5" w:rsidRDefault="004F5AE5" w:rsidP="004F5AE5">
    <w:pPr>
      <w:pStyle w:val="Kopfzeile"/>
      <w:jc w:val="right"/>
    </w:pPr>
    <w:r>
      <w:rPr>
        <w:noProof/>
      </w:rPr>
      <w:drawing>
        <wp:inline distT="0" distB="0" distL="0" distR="0" wp14:anchorId="4072E16C" wp14:editId="123ECB65">
          <wp:extent cx="1800225" cy="228600"/>
          <wp:effectExtent l="0" t="0" r="0" b="0"/>
          <wp:docPr id="1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228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lvl w:ilvl="0">
      <w:start w:val="1"/>
      <w:numFmt w:val="bullet"/>
      <w:lvlText w:val="-"/>
      <w:lvlJc w:val="left"/>
      <w:pPr>
        <w:tabs>
          <w:tab w:val="num" w:pos="360"/>
        </w:tabs>
        <w:ind w:left="360" w:hanging="360"/>
      </w:pPr>
      <w:rPr>
        <w:rFonts w:ascii="Arial" w:hAnsi="Arial"/>
        <w:sz w:val="16"/>
      </w:rPr>
    </w:lvl>
  </w:abstractNum>
  <w:abstractNum w:abstractNumId="1"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18CB542C"/>
    <w:multiLevelType w:val="multilevel"/>
    <w:tmpl w:val="E94A7AB2"/>
    <w:numStyleLink w:val="Gliederung2"/>
  </w:abstractNum>
  <w:abstractNum w:abstractNumId="3" w15:restartNumberingAfterBreak="0">
    <w:nsid w:val="3B82272F"/>
    <w:multiLevelType w:val="hybridMultilevel"/>
    <w:tmpl w:val="9546118E"/>
    <w:lvl w:ilvl="0" w:tplc="EDEC37A2">
      <w:numFmt w:val="bullet"/>
      <w:lvlText w:val="•"/>
      <w:lvlJc w:val="left"/>
      <w:pPr>
        <w:ind w:left="720" w:hanging="360"/>
      </w:pPr>
      <w:rPr>
        <w:rFonts w:ascii="Frutiger LT 45 Light" w:eastAsia="Times New Roman" w:hAnsi="Frutiger LT 45 Light"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1F7DB0"/>
    <w:multiLevelType w:val="hybridMultilevel"/>
    <w:tmpl w:val="8F4036E0"/>
    <w:lvl w:ilvl="0" w:tplc="A75C253E">
      <w:start w:val="1"/>
      <w:numFmt w:val="decimal"/>
      <w:lvlText w:val="(%1)"/>
      <w:lvlJc w:val="left"/>
      <w:pPr>
        <w:tabs>
          <w:tab w:val="num" w:pos="720"/>
        </w:tabs>
        <w:ind w:left="720" w:hanging="360"/>
      </w:pPr>
      <w:rPr>
        <w:rFonts w:hint="default"/>
      </w:rPr>
    </w:lvl>
    <w:lvl w:ilvl="1" w:tplc="AC12A3EA">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2"/>
    <w:lvlOverride w:ilvl="0">
      <w:lvl w:ilvl="0">
        <w:start w:val="1"/>
        <w:numFmt w:val="decimal"/>
        <w:lvlText w:val="%1."/>
        <w:lvlJc w:val="left"/>
        <w:pPr>
          <w:tabs>
            <w:tab w:val="num" w:pos="567"/>
          </w:tabs>
          <w:ind w:left="567" w:hanging="567"/>
        </w:pPr>
        <w:rPr>
          <w:rFonts w:ascii="Frutiger LT 55 Roman" w:eastAsia="Times New Roman" w:hAnsi="Frutiger LT 55 Roman" w:cs="Times New Roman" w:hint="default"/>
          <w:b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hideGrammaticalErrors/>
  <w:proofState w:spelling="clean" w:grammar="clean"/>
  <w:defaultTabStop w:val="708"/>
  <w:autoHyphenation/>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17"/>
    <w:rsid w:val="00021271"/>
    <w:rsid w:val="000213C4"/>
    <w:rsid w:val="000366FD"/>
    <w:rsid w:val="000416D4"/>
    <w:rsid w:val="000471F4"/>
    <w:rsid w:val="00053260"/>
    <w:rsid w:val="00053A14"/>
    <w:rsid w:val="00053E2B"/>
    <w:rsid w:val="00067FB3"/>
    <w:rsid w:val="00074632"/>
    <w:rsid w:val="00092253"/>
    <w:rsid w:val="00096228"/>
    <w:rsid w:val="000A0200"/>
    <w:rsid w:val="000A11C6"/>
    <w:rsid w:val="000A6547"/>
    <w:rsid w:val="000B2C81"/>
    <w:rsid w:val="000B5E98"/>
    <w:rsid w:val="000B78E9"/>
    <w:rsid w:val="000B7DEA"/>
    <w:rsid w:val="000C215B"/>
    <w:rsid w:val="000C5F8B"/>
    <w:rsid w:val="000D1555"/>
    <w:rsid w:val="000D4734"/>
    <w:rsid w:val="000D7C79"/>
    <w:rsid w:val="000E4C4E"/>
    <w:rsid w:val="000F2264"/>
    <w:rsid w:val="000F4DB8"/>
    <w:rsid w:val="00103D7F"/>
    <w:rsid w:val="001046DC"/>
    <w:rsid w:val="00111B93"/>
    <w:rsid w:val="00124F3A"/>
    <w:rsid w:val="001251E2"/>
    <w:rsid w:val="001257CE"/>
    <w:rsid w:val="00154A5F"/>
    <w:rsid w:val="0016518E"/>
    <w:rsid w:val="00166612"/>
    <w:rsid w:val="00175972"/>
    <w:rsid w:val="0018201D"/>
    <w:rsid w:val="00190EE8"/>
    <w:rsid w:val="0019418D"/>
    <w:rsid w:val="001A69CB"/>
    <w:rsid w:val="001A7178"/>
    <w:rsid w:val="001B442B"/>
    <w:rsid w:val="001B7ACB"/>
    <w:rsid w:val="001C5D1D"/>
    <w:rsid w:val="001D44D4"/>
    <w:rsid w:val="001F0A97"/>
    <w:rsid w:val="001F15F8"/>
    <w:rsid w:val="001F778A"/>
    <w:rsid w:val="00215268"/>
    <w:rsid w:val="002224E9"/>
    <w:rsid w:val="00236EB3"/>
    <w:rsid w:val="00237AB4"/>
    <w:rsid w:val="00245C17"/>
    <w:rsid w:val="002646BD"/>
    <w:rsid w:val="00273728"/>
    <w:rsid w:val="00273C2B"/>
    <w:rsid w:val="0027618C"/>
    <w:rsid w:val="00281F98"/>
    <w:rsid w:val="0028294B"/>
    <w:rsid w:val="00283828"/>
    <w:rsid w:val="00284C9E"/>
    <w:rsid w:val="002A18B0"/>
    <w:rsid w:val="002B02B4"/>
    <w:rsid w:val="002B26F3"/>
    <w:rsid w:val="002B3243"/>
    <w:rsid w:val="002C7750"/>
    <w:rsid w:val="002D42AF"/>
    <w:rsid w:val="002E1497"/>
    <w:rsid w:val="002F11D8"/>
    <w:rsid w:val="002F2EB4"/>
    <w:rsid w:val="002F649D"/>
    <w:rsid w:val="002F6908"/>
    <w:rsid w:val="00300B48"/>
    <w:rsid w:val="003068A7"/>
    <w:rsid w:val="0031035D"/>
    <w:rsid w:val="00310DC3"/>
    <w:rsid w:val="003110B6"/>
    <w:rsid w:val="003119FF"/>
    <w:rsid w:val="00314241"/>
    <w:rsid w:val="003145B2"/>
    <w:rsid w:val="00331CFE"/>
    <w:rsid w:val="003469B4"/>
    <w:rsid w:val="00350D74"/>
    <w:rsid w:val="00353C34"/>
    <w:rsid w:val="00355D77"/>
    <w:rsid w:val="00362A53"/>
    <w:rsid w:val="00366CE5"/>
    <w:rsid w:val="00373F04"/>
    <w:rsid w:val="00382530"/>
    <w:rsid w:val="003902DA"/>
    <w:rsid w:val="003A16B8"/>
    <w:rsid w:val="003A2A1B"/>
    <w:rsid w:val="003A5B9A"/>
    <w:rsid w:val="003B340B"/>
    <w:rsid w:val="003C118D"/>
    <w:rsid w:val="003D1254"/>
    <w:rsid w:val="003D262C"/>
    <w:rsid w:val="003D786C"/>
    <w:rsid w:val="003F4E28"/>
    <w:rsid w:val="003F6DA5"/>
    <w:rsid w:val="00402031"/>
    <w:rsid w:val="00405A41"/>
    <w:rsid w:val="00413EDC"/>
    <w:rsid w:val="00431157"/>
    <w:rsid w:val="004616B4"/>
    <w:rsid w:val="00464B38"/>
    <w:rsid w:val="00467BCE"/>
    <w:rsid w:val="00473FF5"/>
    <w:rsid w:val="00475C35"/>
    <w:rsid w:val="00477EA9"/>
    <w:rsid w:val="00481617"/>
    <w:rsid w:val="004A28F0"/>
    <w:rsid w:val="004B45E5"/>
    <w:rsid w:val="004C05C1"/>
    <w:rsid w:val="004C4D88"/>
    <w:rsid w:val="004D70A6"/>
    <w:rsid w:val="004E41FA"/>
    <w:rsid w:val="004F407D"/>
    <w:rsid w:val="004F5AE5"/>
    <w:rsid w:val="004F626B"/>
    <w:rsid w:val="00501E1B"/>
    <w:rsid w:val="00504D6D"/>
    <w:rsid w:val="00507FA8"/>
    <w:rsid w:val="00520E3B"/>
    <w:rsid w:val="00521FD2"/>
    <w:rsid w:val="005456B5"/>
    <w:rsid w:val="0055720A"/>
    <w:rsid w:val="005727C6"/>
    <w:rsid w:val="0058113E"/>
    <w:rsid w:val="00582554"/>
    <w:rsid w:val="00591A7F"/>
    <w:rsid w:val="00591DA0"/>
    <w:rsid w:val="00592D39"/>
    <w:rsid w:val="00596060"/>
    <w:rsid w:val="005B08F4"/>
    <w:rsid w:val="005B4300"/>
    <w:rsid w:val="005B450A"/>
    <w:rsid w:val="005B50B4"/>
    <w:rsid w:val="005B65B7"/>
    <w:rsid w:val="005C2116"/>
    <w:rsid w:val="005C6D97"/>
    <w:rsid w:val="005F018B"/>
    <w:rsid w:val="005F24E9"/>
    <w:rsid w:val="005F7B08"/>
    <w:rsid w:val="00607FFA"/>
    <w:rsid w:val="00614F3D"/>
    <w:rsid w:val="006258C0"/>
    <w:rsid w:val="00630F6E"/>
    <w:rsid w:val="00640190"/>
    <w:rsid w:val="0064733D"/>
    <w:rsid w:val="00647623"/>
    <w:rsid w:val="00651BB7"/>
    <w:rsid w:val="0066188F"/>
    <w:rsid w:val="006724CF"/>
    <w:rsid w:val="00697CAD"/>
    <w:rsid w:val="006A4153"/>
    <w:rsid w:val="006B64A2"/>
    <w:rsid w:val="006D4194"/>
    <w:rsid w:val="006D5AD7"/>
    <w:rsid w:val="006D6674"/>
    <w:rsid w:val="00702D35"/>
    <w:rsid w:val="007052DA"/>
    <w:rsid w:val="007067F5"/>
    <w:rsid w:val="007106D1"/>
    <w:rsid w:val="0072473B"/>
    <w:rsid w:val="0072569D"/>
    <w:rsid w:val="00736AA7"/>
    <w:rsid w:val="00761421"/>
    <w:rsid w:val="00761BA2"/>
    <w:rsid w:val="00765BE4"/>
    <w:rsid w:val="00766177"/>
    <w:rsid w:val="00766596"/>
    <w:rsid w:val="007746B8"/>
    <w:rsid w:val="00783336"/>
    <w:rsid w:val="00784707"/>
    <w:rsid w:val="00793FDE"/>
    <w:rsid w:val="00796164"/>
    <w:rsid w:val="007D0991"/>
    <w:rsid w:val="007D6065"/>
    <w:rsid w:val="007E303E"/>
    <w:rsid w:val="007E5D35"/>
    <w:rsid w:val="007F3965"/>
    <w:rsid w:val="007F53B3"/>
    <w:rsid w:val="007F62B8"/>
    <w:rsid w:val="00803171"/>
    <w:rsid w:val="0080484C"/>
    <w:rsid w:val="0082516E"/>
    <w:rsid w:val="00826F39"/>
    <w:rsid w:val="00827A7D"/>
    <w:rsid w:val="00830859"/>
    <w:rsid w:val="00831451"/>
    <w:rsid w:val="008572C6"/>
    <w:rsid w:val="00860FEA"/>
    <w:rsid w:val="008706A2"/>
    <w:rsid w:val="0089275C"/>
    <w:rsid w:val="008B1495"/>
    <w:rsid w:val="008D0FCC"/>
    <w:rsid w:val="008D6EE5"/>
    <w:rsid w:val="008D7C01"/>
    <w:rsid w:val="008F0608"/>
    <w:rsid w:val="008F78FA"/>
    <w:rsid w:val="00903334"/>
    <w:rsid w:val="00904CEE"/>
    <w:rsid w:val="00906B34"/>
    <w:rsid w:val="00911EBD"/>
    <w:rsid w:val="0092741B"/>
    <w:rsid w:val="00927C17"/>
    <w:rsid w:val="00933A0C"/>
    <w:rsid w:val="0096388A"/>
    <w:rsid w:val="0097311B"/>
    <w:rsid w:val="00975951"/>
    <w:rsid w:val="0098527D"/>
    <w:rsid w:val="00987111"/>
    <w:rsid w:val="00991561"/>
    <w:rsid w:val="009A311F"/>
    <w:rsid w:val="009A4BA9"/>
    <w:rsid w:val="009A54EA"/>
    <w:rsid w:val="009B5DB7"/>
    <w:rsid w:val="009C2FAE"/>
    <w:rsid w:val="009C3868"/>
    <w:rsid w:val="009D35EC"/>
    <w:rsid w:val="009E41D9"/>
    <w:rsid w:val="009E4D72"/>
    <w:rsid w:val="009F0475"/>
    <w:rsid w:val="009F65DE"/>
    <w:rsid w:val="009F6E43"/>
    <w:rsid w:val="00A145E7"/>
    <w:rsid w:val="00A16633"/>
    <w:rsid w:val="00A24143"/>
    <w:rsid w:val="00A30CA6"/>
    <w:rsid w:val="00A33BA3"/>
    <w:rsid w:val="00A41A37"/>
    <w:rsid w:val="00A64800"/>
    <w:rsid w:val="00A65DB2"/>
    <w:rsid w:val="00A75F7F"/>
    <w:rsid w:val="00A77FA6"/>
    <w:rsid w:val="00A83F42"/>
    <w:rsid w:val="00AA1D04"/>
    <w:rsid w:val="00AC3AB0"/>
    <w:rsid w:val="00AC58B3"/>
    <w:rsid w:val="00AE3A91"/>
    <w:rsid w:val="00AF0CAB"/>
    <w:rsid w:val="00B37562"/>
    <w:rsid w:val="00B4225B"/>
    <w:rsid w:val="00B72767"/>
    <w:rsid w:val="00BB613B"/>
    <w:rsid w:val="00BC01A9"/>
    <w:rsid w:val="00BC6464"/>
    <w:rsid w:val="00BD692F"/>
    <w:rsid w:val="00BE7B28"/>
    <w:rsid w:val="00BF142E"/>
    <w:rsid w:val="00BF268A"/>
    <w:rsid w:val="00BF3B0A"/>
    <w:rsid w:val="00C00A79"/>
    <w:rsid w:val="00C07C56"/>
    <w:rsid w:val="00C11DCC"/>
    <w:rsid w:val="00C17814"/>
    <w:rsid w:val="00C22187"/>
    <w:rsid w:val="00C45E18"/>
    <w:rsid w:val="00C52C01"/>
    <w:rsid w:val="00C53331"/>
    <w:rsid w:val="00C554F6"/>
    <w:rsid w:val="00C574FB"/>
    <w:rsid w:val="00C63EFB"/>
    <w:rsid w:val="00C65624"/>
    <w:rsid w:val="00C77D2E"/>
    <w:rsid w:val="00C80DC4"/>
    <w:rsid w:val="00C93F81"/>
    <w:rsid w:val="00C95D7B"/>
    <w:rsid w:val="00CA2B25"/>
    <w:rsid w:val="00CA6FC4"/>
    <w:rsid w:val="00CB05A8"/>
    <w:rsid w:val="00CB243D"/>
    <w:rsid w:val="00CC7327"/>
    <w:rsid w:val="00CC783F"/>
    <w:rsid w:val="00CD33C3"/>
    <w:rsid w:val="00CE6265"/>
    <w:rsid w:val="00D03567"/>
    <w:rsid w:val="00D143B3"/>
    <w:rsid w:val="00D208C0"/>
    <w:rsid w:val="00D22FA3"/>
    <w:rsid w:val="00D326DE"/>
    <w:rsid w:val="00D35811"/>
    <w:rsid w:val="00D53249"/>
    <w:rsid w:val="00D53A57"/>
    <w:rsid w:val="00D541BB"/>
    <w:rsid w:val="00D60A42"/>
    <w:rsid w:val="00D72DC1"/>
    <w:rsid w:val="00D91A91"/>
    <w:rsid w:val="00D95754"/>
    <w:rsid w:val="00DA2A3C"/>
    <w:rsid w:val="00DA5B66"/>
    <w:rsid w:val="00DB4517"/>
    <w:rsid w:val="00DC4A01"/>
    <w:rsid w:val="00DF1D60"/>
    <w:rsid w:val="00E01582"/>
    <w:rsid w:val="00E1189F"/>
    <w:rsid w:val="00E15EB6"/>
    <w:rsid w:val="00E200EE"/>
    <w:rsid w:val="00E214F7"/>
    <w:rsid w:val="00E23FBE"/>
    <w:rsid w:val="00E27ECD"/>
    <w:rsid w:val="00E35CFA"/>
    <w:rsid w:val="00E41BEA"/>
    <w:rsid w:val="00E45D8A"/>
    <w:rsid w:val="00E50A7D"/>
    <w:rsid w:val="00E5589B"/>
    <w:rsid w:val="00E56476"/>
    <w:rsid w:val="00E662C6"/>
    <w:rsid w:val="00E71BAF"/>
    <w:rsid w:val="00E767A6"/>
    <w:rsid w:val="00E8502B"/>
    <w:rsid w:val="00E86620"/>
    <w:rsid w:val="00EA292A"/>
    <w:rsid w:val="00EA62BE"/>
    <w:rsid w:val="00EB4F4F"/>
    <w:rsid w:val="00EB7B08"/>
    <w:rsid w:val="00ED64C6"/>
    <w:rsid w:val="00EE7C74"/>
    <w:rsid w:val="00EF01E5"/>
    <w:rsid w:val="00EF0E44"/>
    <w:rsid w:val="00EF1AF1"/>
    <w:rsid w:val="00F06BF2"/>
    <w:rsid w:val="00F27D71"/>
    <w:rsid w:val="00F30546"/>
    <w:rsid w:val="00F30A96"/>
    <w:rsid w:val="00F30B6B"/>
    <w:rsid w:val="00F34FDA"/>
    <w:rsid w:val="00F44B9D"/>
    <w:rsid w:val="00F50498"/>
    <w:rsid w:val="00F52051"/>
    <w:rsid w:val="00F67245"/>
    <w:rsid w:val="00F71A28"/>
    <w:rsid w:val="00F94250"/>
    <w:rsid w:val="00F9685D"/>
    <w:rsid w:val="00FA7389"/>
    <w:rsid w:val="00FA7F4B"/>
    <w:rsid w:val="00FB39C0"/>
    <w:rsid w:val="00FB66DF"/>
    <w:rsid w:val="00FB69DE"/>
    <w:rsid w:val="00FC346B"/>
    <w:rsid w:val="00FD1437"/>
    <w:rsid w:val="00FD61E9"/>
    <w:rsid w:val="00FD7F8B"/>
    <w:rsid w:val="00FF02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A7DE9B2"/>
  <w15:chartTrackingRefBased/>
  <w15:docId w15:val="{BE18A1C1-6C66-4608-9679-5849F563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utiger LT 45 Light" w:eastAsia="Times New Roman" w:hAnsi="Frutiger LT 45 Light" w:cs="Arial"/>
        <w:sz w:val="18"/>
        <w:szCs w:val="18"/>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73F04"/>
    <w:pPr>
      <w:keepNext/>
      <w:spacing w:before="240" w:after="60"/>
      <w:outlineLvl w:val="0"/>
    </w:pPr>
    <w:rPr>
      <w:rFonts w:eastAsiaTheme="majorEastAsia" w:cstheme="majorBidi"/>
      <w:b/>
      <w:bCs/>
      <w:kern w:val="32"/>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6480"/>
      </w:tabs>
      <w:jc w:val="center"/>
    </w:pPr>
    <w:rPr>
      <w:rFonts w:ascii="Arial" w:hAnsi="Arial"/>
      <w:b/>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character" w:styleId="Hyperlink">
    <w:name w:val="Hyperlink"/>
    <w:semiHidden/>
    <w:rPr>
      <w:color w:val="0000FF"/>
      <w:u w:val="single"/>
    </w:rPr>
  </w:style>
  <w:style w:type="paragraph" w:styleId="Funotentext">
    <w:name w:val="footnote text"/>
    <w:basedOn w:val="Standard"/>
    <w:link w:val="FunotentextZchn"/>
    <w:uiPriority w:val="99"/>
    <w:semiHidden/>
    <w:unhideWhenUsed/>
    <w:rsid w:val="00053A14"/>
    <w:rPr>
      <w:sz w:val="20"/>
      <w:szCs w:val="20"/>
    </w:rPr>
  </w:style>
  <w:style w:type="character" w:customStyle="1" w:styleId="FunotentextZchn">
    <w:name w:val="Fußnotentext Zchn"/>
    <w:basedOn w:val="Absatz-Standardschriftart"/>
    <w:link w:val="Funotentext"/>
    <w:uiPriority w:val="99"/>
    <w:semiHidden/>
    <w:rsid w:val="00053A14"/>
  </w:style>
  <w:style w:type="character" w:styleId="Funotenzeichen">
    <w:name w:val="footnote reference"/>
    <w:uiPriority w:val="99"/>
    <w:semiHidden/>
    <w:unhideWhenUsed/>
    <w:rsid w:val="00053A14"/>
    <w:rPr>
      <w:vertAlign w:val="superscript"/>
    </w:rPr>
  </w:style>
  <w:style w:type="table" w:customStyle="1" w:styleId="Tabellengitternetz">
    <w:name w:val="Tabellengitternetz"/>
    <w:basedOn w:val="NormaleTabelle"/>
    <w:uiPriority w:val="59"/>
    <w:rsid w:val="00300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A24143"/>
    <w:rPr>
      <w:sz w:val="20"/>
      <w:szCs w:val="20"/>
    </w:rPr>
  </w:style>
  <w:style w:type="character" w:customStyle="1" w:styleId="EndnotentextZchn">
    <w:name w:val="Endnotentext Zchn"/>
    <w:basedOn w:val="Absatz-Standardschriftart"/>
    <w:link w:val="Endnotentext"/>
    <w:uiPriority w:val="99"/>
    <w:semiHidden/>
    <w:rsid w:val="00A24143"/>
  </w:style>
  <w:style w:type="character" w:styleId="Endnotenzeichen">
    <w:name w:val="endnote reference"/>
    <w:uiPriority w:val="99"/>
    <w:semiHidden/>
    <w:unhideWhenUsed/>
    <w:rsid w:val="00A24143"/>
    <w:rPr>
      <w:vertAlign w:val="superscript"/>
    </w:rPr>
  </w:style>
  <w:style w:type="character" w:customStyle="1" w:styleId="FuzeileZchn">
    <w:name w:val="Fußzeile Zchn"/>
    <w:link w:val="Fuzeile"/>
    <w:uiPriority w:val="99"/>
    <w:rsid w:val="00591DA0"/>
    <w:rPr>
      <w:sz w:val="24"/>
      <w:szCs w:val="24"/>
    </w:rPr>
  </w:style>
  <w:style w:type="paragraph" w:styleId="Sprechblasentext">
    <w:name w:val="Balloon Text"/>
    <w:basedOn w:val="Standard"/>
    <w:link w:val="SprechblasentextZchn"/>
    <w:uiPriority w:val="99"/>
    <w:semiHidden/>
    <w:unhideWhenUsed/>
    <w:rsid w:val="00EB7B08"/>
    <w:rPr>
      <w:rFonts w:ascii="Tahoma" w:hAnsi="Tahoma" w:cs="Tahoma"/>
      <w:sz w:val="16"/>
      <w:szCs w:val="16"/>
    </w:rPr>
  </w:style>
  <w:style w:type="character" w:customStyle="1" w:styleId="SprechblasentextZchn">
    <w:name w:val="Sprechblasentext Zchn"/>
    <w:link w:val="Sprechblasentext"/>
    <w:uiPriority w:val="99"/>
    <w:semiHidden/>
    <w:rsid w:val="00EB7B08"/>
    <w:rPr>
      <w:rFonts w:ascii="Tahoma" w:hAnsi="Tahoma" w:cs="Tahoma"/>
      <w:sz w:val="16"/>
      <w:szCs w:val="16"/>
    </w:rPr>
  </w:style>
  <w:style w:type="paragraph" w:customStyle="1" w:styleId="Default">
    <w:name w:val="Default"/>
    <w:rsid w:val="0072473B"/>
    <w:pPr>
      <w:autoSpaceDE w:val="0"/>
      <w:autoSpaceDN w:val="0"/>
      <w:adjustRightInd w:val="0"/>
    </w:pPr>
    <w:rPr>
      <w:rFonts w:ascii="Verdana" w:hAnsi="Verdana" w:cs="Verdana"/>
      <w:color w:val="000000"/>
      <w:sz w:val="24"/>
      <w:szCs w:val="24"/>
    </w:rPr>
  </w:style>
  <w:style w:type="table" w:styleId="TabellemithellemGitternetz">
    <w:name w:val="Grid Table Light"/>
    <w:basedOn w:val="NormaleTabelle"/>
    <w:uiPriority w:val="40"/>
    <w:rsid w:val="00761BA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NichtaufgelsteErwhnung">
    <w:name w:val="Unresolved Mention"/>
    <w:uiPriority w:val="99"/>
    <w:semiHidden/>
    <w:unhideWhenUsed/>
    <w:rsid w:val="00FA7F4B"/>
    <w:rPr>
      <w:color w:val="605E5C"/>
      <w:shd w:val="clear" w:color="auto" w:fill="E1DFDD"/>
    </w:rPr>
  </w:style>
  <w:style w:type="character" w:customStyle="1" w:styleId="KopfzeileZchn">
    <w:name w:val="Kopfzeile Zchn"/>
    <w:link w:val="Kopfzeile"/>
    <w:uiPriority w:val="99"/>
    <w:rsid w:val="005727C6"/>
    <w:rPr>
      <w:sz w:val="24"/>
      <w:szCs w:val="24"/>
    </w:rPr>
  </w:style>
  <w:style w:type="character" w:customStyle="1" w:styleId="berschrift1Zchn">
    <w:name w:val="Überschrift 1 Zchn"/>
    <w:basedOn w:val="Absatz-Standardschriftart"/>
    <w:link w:val="berschrift1"/>
    <w:uiPriority w:val="9"/>
    <w:rsid w:val="00373F04"/>
    <w:rPr>
      <w:rFonts w:eastAsiaTheme="majorEastAsia" w:cstheme="majorBidi"/>
      <w:b/>
      <w:bCs/>
      <w:kern w:val="32"/>
      <w:sz w:val="24"/>
      <w:szCs w:val="32"/>
    </w:rPr>
  </w:style>
  <w:style w:type="paragraph" w:styleId="KeinLeerraum">
    <w:name w:val="No Spacing"/>
    <w:uiPriority w:val="1"/>
    <w:qFormat/>
    <w:rsid w:val="00FD7F8B"/>
  </w:style>
  <w:style w:type="paragraph" w:styleId="Titel">
    <w:name w:val="Title"/>
    <w:basedOn w:val="Standard"/>
    <w:link w:val="TitelZchn"/>
    <w:qFormat/>
    <w:rsid w:val="00E8502B"/>
    <w:pPr>
      <w:tabs>
        <w:tab w:val="left" w:pos="284"/>
        <w:tab w:val="left" w:pos="567"/>
        <w:tab w:val="left" w:pos="851"/>
        <w:tab w:val="left" w:pos="1134"/>
        <w:tab w:val="left" w:pos="1418"/>
        <w:tab w:val="left" w:pos="1701"/>
      </w:tabs>
      <w:spacing w:before="240" w:after="60" w:line="312" w:lineRule="auto"/>
      <w:jc w:val="center"/>
    </w:pPr>
    <w:rPr>
      <w:rFonts w:ascii="Arial" w:hAnsi="Arial" w:cs="Times New Roman"/>
      <w:b/>
      <w:kern w:val="28"/>
      <w:sz w:val="32"/>
      <w:szCs w:val="20"/>
    </w:rPr>
  </w:style>
  <w:style w:type="character" w:customStyle="1" w:styleId="TitelZchn">
    <w:name w:val="Titel Zchn"/>
    <w:basedOn w:val="Absatz-Standardschriftart"/>
    <w:link w:val="Titel"/>
    <w:rsid w:val="00E8502B"/>
    <w:rPr>
      <w:rFonts w:ascii="Arial" w:hAnsi="Arial" w:cs="Times New Roman"/>
      <w:b/>
      <w:kern w:val="28"/>
      <w:sz w:val="32"/>
      <w:szCs w:val="20"/>
    </w:rPr>
  </w:style>
  <w:style w:type="table" w:styleId="Tabellenraster">
    <w:name w:val="Table Grid"/>
    <w:basedOn w:val="NormaleTabelle"/>
    <w:uiPriority w:val="59"/>
    <w:rsid w:val="00E85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450A"/>
    <w:pPr>
      <w:ind w:left="720"/>
      <w:contextualSpacing/>
    </w:pPr>
  </w:style>
  <w:style w:type="numbering" w:customStyle="1" w:styleId="Gliederung2">
    <w:name w:val="Gliederung 2"/>
    <w:rsid w:val="000471F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2401">
      <w:bodyDiv w:val="1"/>
      <w:marLeft w:val="0"/>
      <w:marRight w:val="0"/>
      <w:marTop w:val="0"/>
      <w:marBottom w:val="0"/>
      <w:divBdr>
        <w:top w:val="none" w:sz="0" w:space="0" w:color="auto"/>
        <w:left w:val="none" w:sz="0" w:space="0" w:color="auto"/>
        <w:bottom w:val="none" w:sz="0" w:space="0" w:color="auto"/>
        <w:right w:val="none" w:sz="0" w:space="0" w:color="auto"/>
      </w:divBdr>
    </w:div>
    <w:div w:id="123739509">
      <w:bodyDiv w:val="1"/>
      <w:marLeft w:val="0"/>
      <w:marRight w:val="0"/>
      <w:marTop w:val="0"/>
      <w:marBottom w:val="0"/>
      <w:divBdr>
        <w:top w:val="none" w:sz="0" w:space="0" w:color="auto"/>
        <w:left w:val="none" w:sz="0" w:space="0" w:color="auto"/>
        <w:bottom w:val="none" w:sz="0" w:space="0" w:color="auto"/>
        <w:right w:val="none" w:sz="0" w:space="0" w:color="auto"/>
      </w:divBdr>
    </w:div>
    <w:div w:id="321664554">
      <w:bodyDiv w:val="1"/>
      <w:marLeft w:val="0"/>
      <w:marRight w:val="0"/>
      <w:marTop w:val="0"/>
      <w:marBottom w:val="0"/>
      <w:divBdr>
        <w:top w:val="none" w:sz="0" w:space="0" w:color="auto"/>
        <w:left w:val="none" w:sz="0" w:space="0" w:color="auto"/>
        <w:bottom w:val="none" w:sz="0" w:space="0" w:color="auto"/>
        <w:right w:val="none" w:sz="0" w:space="0" w:color="auto"/>
      </w:divBdr>
    </w:div>
    <w:div w:id="678848063">
      <w:bodyDiv w:val="1"/>
      <w:marLeft w:val="0"/>
      <w:marRight w:val="0"/>
      <w:marTop w:val="0"/>
      <w:marBottom w:val="0"/>
      <w:divBdr>
        <w:top w:val="none" w:sz="0" w:space="0" w:color="auto"/>
        <w:left w:val="none" w:sz="0" w:space="0" w:color="auto"/>
        <w:bottom w:val="none" w:sz="0" w:space="0" w:color="auto"/>
        <w:right w:val="none" w:sz="0" w:space="0" w:color="auto"/>
      </w:divBdr>
    </w:div>
    <w:div w:id="703334280">
      <w:bodyDiv w:val="1"/>
      <w:marLeft w:val="0"/>
      <w:marRight w:val="0"/>
      <w:marTop w:val="0"/>
      <w:marBottom w:val="0"/>
      <w:divBdr>
        <w:top w:val="none" w:sz="0" w:space="0" w:color="auto"/>
        <w:left w:val="none" w:sz="0" w:space="0" w:color="auto"/>
        <w:bottom w:val="none" w:sz="0" w:space="0" w:color="auto"/>
        <w:right w:val="none" w:sz="0" w:space="0" w:color="auto"/>
      </w:divBdr>
    </w:div>
    <w:div w:id="1410154379">
      <w:bodyDiv w:val="1"/>
      <w:marLeft w:val="0"/>
      <w:marRight w:val="0"/>
      <w:marTop w:val="0"/>
      <w:marBottom w:val="0"/>
      <w:divBdr>
        <w:top w:val="none" w:sz="0" w:space="0" w:color="auto"/>
        <w:left w:val="none" w:sz="0" w:space="0" w:color="auto"/>
        <w:bottom w:val="none" w:sz="0" w:space="0" w:color="auto"/>
        <w:right w:val="none" w:sz="0" w:space="0" w:color="auto"/>
      </w:divBdr>
    </w:div>
    <w:div w:id="1534415818">
      <w:bodyDiv w:val="1"/>
      <w:marLeft w:val="0"/>
      <w:marRight w:val="0"/>
      <w:marTop w:val="0"/>
      <w:marBottom w:val="0"/>
      <w:divBdr>
        <w:top w:val="none" w:sz="0" w:space="0" w:color="auto"/>
        <w:left w:val="none" w:sz="0" w:space="0" w:color="auto"/>
        <w:bottom w:val="none" w:sz="0" w:space="0" w:color="auto"/>
        <w:right w:val="none" w:sz="0" w:space="0" w:color="auto"/>
      </w:divBdr>
    </w:div>
    <w:div w:id="1549800882">
      <w:bodyDiv w:val="1"/>
      <w:marLeft w:val="0"/>
      <w:marRight w:val="0"/>
      <w:marTop w:val="0"/>
      <w:marBottom w:val="0"/>
      <w:divBdr>
        <w:top w:val="none" w:sz="0" w:space="0" w:color="auto"/>
        <w:left w:val="none" w:sz="0" w:space="0" w:color="auto"/>
        <w:bottom w:val="none" w:sz="0" w:space="0" w:color="auto"/>
        <w:right w:val="none" w:sz="0" w:space="0" w:color="auto"/>
      </w:divBdr>
    </w:div>
    <w:div w:id="1562136187">
      <w:bodyDiv w:val="1"/>
      <w:marLeft w:val="0"/>
      <w:marRight w:val="0"/>
      <w:marTop w:val="0"/>
      <w:marBottom w:val="0"/>
      <w:divBdr>
        <w:top w:val="none" w:sz="0" w:space="0" w:color="auto"/>
        <w:left w:val="none" w:sz="0" w:space="0" w:color="auto"/>
        <w:bottom w:val="none" w:sz="0" w:space="0" w:color="auto"/>
        <w:right w:val="none" w:sz="0" w:space="0" w:color="auto"/>
      </w:divBdr>
    </w:div>
    <w:div w:id="1797719829">
      <w:bodyDiv w:val="1"/>
      <w:marLeft w:val="0"/>
      <w:marRight w:val="0"/>
      <w:marTop w:val="0"/>
      <w:marBottom w:val="0"/>
      <w:divBdr>
        <w:top w:val="none" w:sz="0" w:space="0" w:color="auto"/>
        <w:left w:val="none" w:sz="0" w:space="0" w:color="auto"/>
        <w:bottom w:val="none" w:sz="0" w:space="0" w:color="auto"/>
        <w:right w:val="none" w:sz="0" w:space="0" w:color="auto"/>
      </w:divBdr>
    </w:div>
    <w:div w:id="1871019882">
      <w:bodyDiv w:val="1"/>
      <w:marLeft w:val="0"/>
      <w:marRight w:val="0"/>
      <w:marTop w:val="0"/>
      <w:marBottom w:val="0"/>
      <w:divBdr>
        <w:top w:val="none" w:sz="0" w:space="0" w:color="auto"/>
        <w:left w:val="none" w:sz="0" w:space="0" w:color="auto"/>
        <w:bottom w:val="none" w:sz="0" w:space="0" w:color="auto"/>
        <w:right w:val="none" w:sz="0" w:space="0" w:color="auto"/>
      </w:divBdr>
    </w:div>
    <w:div w:id="2013988381">
      <w:bodyDiv w:val="1"/>
      <w:marLeft w:val="0"/>
      <w:marRight w:val="0"/>
      <w:marTop w:val="0"/>
      <w:marBottom w:val="0"/>
      <w:divBdr>
        <w:top w:val="none" w:sz="0" w:space="0" w:color="auto"/>
        <w:left w:val="none" w:sz="0" w:space="0" w:color="auto"/>
        <w:bottom w:val="none" w:sz="0" w:space="0" w:color="auto"/>
        <w:right w:val="none" w:sz="0" w:space="0" w:color="auto"/>
      </w:divBdr>
    </w:div>
    <w:div w:id="201696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sorgerwechsel@travenetz.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C8EEA68B295E4FBE3DDF85C1A8AE19" ma:contentTypeVersion="1" ma:contentTypeDescription="Ein neues Dokument erstellen." ma:contentTypeScope="" ma:versionID="6f19d052dac12d9c390ae4bcd16384dc">
  <xsd:schema xmlns:xsd="http://www.w3.org/2001/XMLSchema" xmlns:xs="http://www.w3.org/2001/XMLSchema" xmlns:p="http://schemas.microsoft.com/office/2006/metadata/properties" targetNamespace="http://schemas.microsoft.com/office/2006/metadata/properties" ma:root="true" ma:fieldsID="c035ba192d3b1febad912aaba8b6f4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748A4-84F2-4385-9852-00A3C1F87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A20EF8-FA50-4DA1-9093-4F0417595D12}">
  <ds:schemaRefs>
    <ds:schemaRef ds:uri="http://schemas.microsoft.com/sharepoint/v3/contenttype/forms"/>
  </ds:schemaRefs>
</ds:datastoreItem>
</file>

<file path=customXml/itemProps3.xml><?xml version="1.0" encoding="utf-8"?>
<ds:datastoreItem xmlns:ds="http://schemas.openxmlformats.org/officeDocument/2006/customXml" ds:itemID="{59C91E56-A110-4112-9A1E-74C5F2185E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ECA67E-8B91-4D18-A8F5-46CBF5CB7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3909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BET GmbH</Company>
  <LinksUpToDate>false</LinksUpToDate>
  <CharactersWithSpaces>4458</CharactersWithSpaces>
  <SharedDoc>false</SharedDoc>
  <HLinks>
    <vt:vector size="6" baseType="variant">
      <vt:variant>
        <vt:i4>5242971</vt:i4>
      </vt:variant>
      <vt:variant>
        <vt:i4>0</vt:i4>
      </vt:variant>
      <vt:variant>
        <vt:i4>0</vt:i4>
      </vt:variant>
      <vt:variant>
        <vt:i4>5</vt:i4>
      </vt:variant>
      <vt:variant>
        <vt:lpwstr>http://www.sw-luebecknetz.de/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Hartmut Müller</dc:creator>
  <cp:keywords/>
  <cp:lastModifiedBy>Ziele, Anna-Maria</cp:lastModifiedBy>
  <cp:revision>5</cp:revision>
  <cp:lastPrinted>2020-06-26T16:04:00Z</cp:lastPrinted>
  <dcterms:created xsi:type="dcterms:W3CDTF">2022-06-03T07:08:00Z</dcterms:created>
  <dcterms:modified xsi:type="dcterms:W3CDTF">2022-07-07T14:03:00Z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0x01010052C8EEA68B295E4FBE3DDF85C1A8AE19</vt:lpwstr>
  </property>
</Properties>
</file>